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070073" w14:textId="53872AD9" w:rsidR="00287E29" w:rsidRDefault="0044534A">
      <w:pPr>
        <w:pStyle w:val="Heading1"/>
      </w:pPr>
      <w:r>
        <w:t xml:space="preserve">Comments on IFRS </w:t>
      </w:r>
      <w:r w:rsidR="00E26135">
        <w:t>-16</w:t>
      </w:r>
      <w:bookmarkStart w:id="0" w:name="_GoBack"/>
      <w:bookmarkEnd w:id="0"/>
    </w:p>
    <w:p w14:paraId="34E1AF84" w14:textId="77777777" w:rsidR="00287E29" w:rsidRDefault="0044534A">
      <w:r>
        <w:t>Dear Sir / Madam,</w:t>
      </w:r>
    </w:p>
    <w:p w14:paraId="51172AE7" w14:textId="77777777" w:rsidR="00287E29" w:rsidRDefault="0044534A">
      <w:r>
        <w:t>We welcome the opportunity to comment on the three Tentative Agenda Decisions (TADs) hosted by the ASB for public comment. Because Ind AS are converged with IFRS Accounting Standards, these decisions will shape practice for Indian entities, so our comments note Indian fact patterns where relevant.</w:t>
      </w:r>
    </w:p>
    <w:tbl>
      <w:tblPr>
        <w:tblStyle w:val="TableGrid"/>
        <w:tblW w:w="0" w:type="auto"/>
        <w:tblLayout w:type="fixed"/>
        <w:tblLook w:val="0420" w:firstRow="1" w:lastRow="0" w:firstColumn="0" w:lastColumn="0" w:noHBand="0" w:noVBand="1"/>
      </w:tblPr>
      <w:tblGrid>
        <w:gridCol w:w="3120"/>
        <w:gridCol w:w="3120"/>
        <w:gridCol w:w="3120"/>
      </w:tblGrid>
      <w:tr w:rsidR="00287E29" w14:paraId="46751439" w14:textId="77777777">
        <w:trPr>
          <w:tblHeader/>
        </w:trPr>
        <w:tc>
          <w:tcPr>
            <w:tcW w:w="3120" w:type="dxa"/>
            <w:shd w:val="clear" w:color="auto" w:fill="F2F2F2"/>
          </w:tcPr>
          <w:p w14:paraId="00D5B27E" w14:textId="77777777" w:rsidR="00287E29" w:rsidRDefault="0044534A">
            <w:r>
              <w:t>TAD</w:t>
            </w:r>
          </w:p>
        </w:tc>
        <w:tc>
          <w:tcPr>
            <w:tcW w:w="3120" w:type="dxa"/>
            <w:shd w:val="clear" w:color="auto" w:fill="F2F2F2"/>
          </w:tcPr>
          <w:p w14:paraId="212D45B2" w14:textId="77777777" w:rsidR="00287E29" w:rsidRDefault="0044534A">
            <w:r>
              <w:t>Standard</w:t>
            </w:r>
          </w:p>
        </w:tc>
        <w:tc>
          <w:tcPr>
            <w:tcW w:w="3120" w:type="dxa"/>
            <w:shd w:val="clear" w:color="auto" w:fill="F2F2F2"/>
          </w:tcPr>
          <w:p w14:paraId="60D780CD" w14:textId="77777777" w:rsidR="00287E29" w:rsidRDefault="0044534A">
            <w:r>
              <w:t>Our view</w:t>
            </w:r>
          </w:p>
        </w:tc>
      </w:tr>
      <w:tr w:rsidR="00287E29" w14:paraId="65B7830A" w14:textId="77777777">
        <w:tc>
          <w:tcPr>
            <w:tcW w:w="3120" w:type="dxa"/>
          </w:tcPr>
          <w:p w14:paraId="0D10BEDF" w14:textId="77777777" w:rsidR="00287E29" w:rsidRDefault="0044534A">
            <w:r>
              <w:t>Estimating Residual Value</w:t>
            </w:r>
          </w:p>
        </w:tc>
        <w:tc>
          <w:tcPr>
            <w:tcW w:w="3120" w:type="dxa"/>
          </w:tcPr>
          <w:p w14:paraId="56771773" w14:textId="77777777" w:rsidR="00287E29" w:rsidRDefault="0044534A">
            <w:r>
              <w:t>IAS 16</w:t>
            </w:r>
          </w:p>
        </w:tc>
        <w:tc>
          <w:tcPr>
            <w:tcW w:w="3120" w:type="dxa"/>
          </w:tcPr>
          <w:p w14:paraId="31CB7796" w14:textId="77777777" w:rsidR="00287E29" w:rsidRDefault="0044534A">
            <w:r>
              <w:t>Agree, with suggested clarifications</w:t>
            </w:r>
          </w:p>
        </w:tc>
      </w:tr>
    </w:tbl>
    <w:p w14:paraId="3EF45C91" w14:textId="6D9814F0" w:rsidR="00287E29" w:rsidRDefault="0044534A">
      <w:pPr>
        <w:pStyle w:val="Heading2"/>
      </w:pPr>
      <w:r>
        <w:t>1. Estimating Residual Value (IAS 16)</w:t>
      </w:r>
    </w:p>
    <w:p w14:paraId="3F8FF640" w14:textId="77777777" w:rsidR="00287E29" w:rsidRDefault="0044534A">
      <w:r>
        <w:rPr>
          <w:b/>
        </w:rPr>
        <w:t>Our view: we agree</w:t>
      </w:r>
      <w:r>
        <w:t xml:space="preserve"> with the Committee's reading of the definition of residual value in paragraph 6 of IAS 16 and with the conclusion that no standard-setting project is needed.</w:t>
      </w:r>
    </w:p>
    <w:p w14:paraId="10E6CB59" w14:textId="77777777" w:rsidR="00287E29" w:rsidRDefault="0044534A">
      <w:r>
        <w:t xml:space="preserve">The distinction between developments that affect the amount an entity would </w:t>
      </w:r>
      <w:r>
        <w:rPr>
          <w:i/>
        </w:rPr>
        <w:t>currently</w:t>
      </w:r>
      <w:r>
        <w:t xml:space="preserve"> obtain and those that affect only future prices follows from the definition. It is consistent with the IASB's reasons for adopting a current-price definition, and with the requirements to review residual value at least annually (paragraph 51) and to stop depreciating when residual value reaches the carrying amount (paragraph 54).</w:t>
      </w:r>
    </w:p>
    <w:p w14:paraId="0113BD7F" w14:textId="77777777" w:rsidR="00287E29" w:rsidRDefault="0044534A">
      <w:r>
        <w:rPr>
          <w:b/>
        </w:rPr>
        <w:t>Suggestions to improve the final agenda decision:</w:t>
      </w:r>
    </w:p>
    <w:p w14:paraId="6D597266" w14:textId="77777777" w:rsidR="00287E29" w:rsidRDefault="0044534A">
      <w:pPr>
        <w:pStyle w:val="ListParagraph"/>
        <w:numPr>
          <w:ilvl w:val="0"/>
          <w:numId w:val="3"/>
        </w:numPr>
      </w:pPr>
      <w:r>
        <w:rPr>
          <w:b/>
        </w:rPr>
        <w:t>Explain how to apply the distinction.</w:t>
      </w:r>
      <w:r>
        <w:t xml:space="preserve"> The test is clear in principle but hard in practice. The decision says expected technological change "could" affect current prices. We suggest it state that an expected development is reflected only if, and to the extent that, it is already reflected in current market prices for assets of the relevant age and condition. This would prevent entities from building their own forecasts into residual value under the label of current prices.</w:t>
      </w:r>
    </w:p>
    <w:p w14:paraId="1B8694EA" w14:textId="77777777" w:rsidR="00287E29" w:rsidRDefault="0044534A">
      <w:pPr>
        <w:pStyle w:val="ListParagraph"/>
        <w:numPr>
          <w:ilvl w:val="0"/>
          <w:numId w:val="3"/>
        </w:numPr>
      </w:pPr>
      <w:r>
        <w:rPr>
          <w:b/>
        </w:rPr>
        <w:t>No current market for an asset of that age.</w:t>
      </w:r>
      <w:r>
        <w:t xml:space="preserve"> For a new car model, no three-year-old equivalent trades today. We suggest the decision acknowledge that entities may use current prices for comparable assets and adjust them, and that the adjustments must still reflect current, not forecast, conditions.</w:t>
      </w:r>
    </w:p>
    <w:p w14:paraId="150B9C91" w14:textId="77777777" w:rsidR="00287E29" w:rsidRDefault="0044534A">
      <w:pPr>
        <w:pStyle w:val="ListParagraph"/>
        <w:numPr>
          <w:ilvl w:val="0"/>
          <w:numId w:val="3"/>
        </w:numPr>
      </w:pPr>
      <w:r>
        <w:rPr>
          <w:b/>
        </w:rPr>
        <w:t>Regulatory and market changes.</w:t>
      </w:r>
      <w:r>
        <w:t xml:space="preserve"> In India, enacted age limits on diesel and petrol vehicles in certain regions, and the shift to electric vehicles, affect the second-hand market. An example showing how an announced or enacted regulation affects current prices for aged assets would be helpful to lessors of vehicles and aircraft, including those operating from GIFT IFSC.</w:t>
      </w:r>
    </w:p>
    <w:p w14:paraId="79822C0E" w14:textId="77777777" w:rsidR="00287E29" w:rsidRDefault="0044534A">
      <w:pPr>
        <w:pStyle w:val="ListParagraph"/>
        <w:numPr>
          <w:ilvl w:val="0"/>
          <w:numId w:val="3"/>
        </w:numPr>
      </w:pPr>
      <w:r>
        <w:rPr>
          <w:b/>
        </w:rPr>
        <w:t>Consequences of excluding future inflation.</w:t>
      </w:r>
      <w:r>
        <w:t xml:space="preserve"> In high-inflation environments, a current-price residual value will be lower than expected disposal proceeds, increasing depreciation during the lease term and producing gains on disposal. We suggest the decision acknowledge this outcome so that users and auditors do not treat recurring disposal gains as evidence of error.</w:t>
      </w:r>
    </w:p>
    <w:p w14:paraId="11E11CEF" w14:textId="77777777" w:rsidR="00287E29" w:rsidRDefault="0044534A">
      <w:pPr>
        <w:pStyle w:val="ListParagraph"/>
        <w:numPr>
          <w:ilvl w:val="0"/>
          <w:numId w:val="3"/>
        </w:numPr>
      </w:pPr>
      <w:r>
        <w:rPr>
          <w:b/>
        </w:rPr>
        <w:t>Interaction with IAS 36 and IFRS 16.</w:t>
      </w:r>
      <w:r>
        <w:t xml:space="preserve"> A short cross-reference confirming that impairment testing (IAS 36) and the lessor's operating lease accounting (IFRS 16) are unaffected would be helpful.</w:t>
      </w:r>
    </w:p>
    <w:sectPr w:rsidR="00287E29">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Shruti">
    <w:panose1 w:val="02000500000000000000"/>
    <w:charset w:val="00"/>
    <w:family w:val="swiss"/>
    <w:pitch w:val="variable"/>
    <w:sig w:usb0="00040003" w:usb1="00000000" w:usb2="00000000" w:usb3="00000000" w:csb0="00000001" w:csb1="00000000"/>
  </w:font>
  <w:font w:name="Aptos">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966B6"/>
    <w:multiLevelType w:val="hybridMultilevel"/>
    <w:tmpl w:val="3D2ACB16"/>
    <w:lvl w:ilvl="0" w:tplc="8D764A1E">
      <w:start w:val="1"/>
      <w:numFmt w:val="bullet"/>
      <w:lvlText w:val="•"/>
      <w:lvlJc w:val="left"/>
      <w:pPr>
        <w:ind w:left="720" w:hanging="360"/>
      </w:pPr>
    </w:lvl>
    <w:lvl w:ilvl="1" w:tplc="E4E4C59E">
      <w:start w:val="1"/>
      <w:numFmt w:val="bullet"/>
      <w:lvlText w:val="o"/>
      <w:lvlJc w:val="left"/>
      <w:pPr>
        <w:ind w:left="1440" w:hanging="360"/>
      </w:pPr>
    </w:lvl>
    <w:lvl w:ilvl="2" w:tplc="BC349538">
      <w:start w:val="1"/>
      <w:numFmt w:val="bullet"/>
      <w:lvlText w:val="▪"/>
      <w:lvlJc w:val="left"/>
      <w:pPr>
        <w:ind w:left="2160" w:hanging="360"/>
      </w:pPr>
    </w:lvl>
    <w:lvl w:ilvl="3" w:tplc="1F6841B4">
      <w:start w:val="1"/>
      <w:numFmt w:val="bullet"/>
      <w:lvlText w:val="•"/>
      <w:lvlJc w:val="left"/>
      <w:pPr>
        <w:ind w:left="2880" w:hanging="360"/>
      </w:pPr>
    </w:lvl>
    <w:lvl w:ilvl="4" w:tplc="FB3E3C84">
      <w:start w:val="1"/>
      <w:numFmt w:val="bullet"/>
      <w:lvlText w:val="o"/>
      <w:lvlJc w:val="left"/>
      <w:pPr>
        <w:ind w:left="3600" w:hanging="360"/>
      </w:pPr>
    </w:lvl>
    <w:lvl w:ilvl="5" w:tplc="1D7A41E6">
      <w:start w:val="1"/>
      <w:numFmt w:val="bullet"/>
      <w:lvlText w:val="▪"/>
      <w:lvlJc w:val="left"/>
      <w:pPr>
        <w:ind w:left="4320" w:hanging="360"/>
      </w:pPr>
    </w:lvl>
    <w:lvl w:ilvl="6" w:tplc="7A2C4DA8">
      <w:start w:val="1"/>
      <w:numFmt w:val="bullet"/>
      <w:lvlText w:val="•"/>
      <w:lvlJc w:val="left"/>
      <w:pPr>
        <w:ind w:left="5040" w:hanging="360"/>
      </w:pPr>
    </w:lvl>
    <w:lvl w:ilvl="7" w:tplc="75C470DE">
      <w:start w:val="1"/>
      <w:numFmt w:val="bullet"/>
      <w:lvlText w:val="o"/>
      <w:lvlJc w:val="left"/>
      <w:pPr>
        <w:ind w:left="5760" w:hanging="360"/>
      </w:pPr>
    </w:lvl>
    <w:lvl w:ilvl="8" w:tplc="57A0F0DC">
      <w:start w:val="1"/>
      <w:numFmt w:val="bullet"/>
      <w:lvlText w:val="▪"/>
      <w:lvlJc w:val="left"/>
      <w:pPr>
        <w:ind w:left="6480" w:hanging="360"/>
      </w:pPr>
    </w:lvl>
  </w:abstractNum>
  <w:abstractNum w:abstractNumId="1" w15:restartNumberingAfterBreak="0">
    <w:nsid w:val="43F011D7"/>
    <w:multiLevelType w:val="hybridMultilevel"/>
    <w:tmpl w:val="45F07BC2"/>
    <w:lvl w:ilvl="0" w:tplc="209A3B46">
      <w:start w:val="1"/>
      <w:numFmt w:val="decimal"/>
      <w:lvlText w:val="%1."/>
      <w:lvlJc w:val="left"/>
      <w:pPr>
        <w:ind w:left="720" w:hanging="360"/>
      </w:pPr>
    </w:lvl>
    <w:lvl w:ilvl="1" w:tplc="58F04902">
      <w:start w:val="1"/>
      <w:numFmt w:val="lowerLetter"/>
      <w:lvlText w:val="%2."/>
      <w:lvlJc w:val="left"/>
      <w:pPr>
        <w:ind w:left="1440" w:hanging="360"/>
      </w:pPr>
    </w:lvl>
    <w:lvl w:ilvl="2" w:tplc="4942E360">
      <w:start w:val="1"/>
      <w:numFmt w:val="lowerRoman"/>
      <w:lvlText w:val="%3."/>
      <w:lvlJc w:val="left"/>
      <w:pPr>
        <w:ind w:left="2160" w:hanging="360"/>
      </w:pPr>
    </w:lvl>
    <w:lvl w:ilvl="3" w:tplc="82545E06">
      <w:start w:val="1"/>
      <w:numFmt w:val="decimal"/>
      <w:lvlText w:val="%4."/>
      <w:lvlJc w:val="left"/>
      <w:pPr>
        <w:ind w:left="2880" w:hanging="360"/>
      </w:pPr>
    </w:lvl>
    <w:lvl w:ilvl="4" w:tplc="7278C932">
      <w:start w:val="1"/>
      <w:numFmt w:val="lowerLetter"/>
      <w:lvlText w:val="%5."/>
      <w:lvlJc w:val="left"/>
      <w:pPr>
        <w:ind w:left="3600" w:hanging="360"/>
      </w:pPr>
    </w:lvl>
    <w:lvl w:ilvl="5" w:tplc="417216C0">
      <w:start w:val="1"/>
      <w:numFmt w:val="lowerRoman"/>
      <w:lvlText w:val="%6."/>
      <w:lvlJc w:val="left"/>
      <w:pPr>
        <w:ind w:left="4320" w:hanging="360"/>
      </w:pPr>
    </w:lvl>
    <w:lvl w:ilvl="6" w:tplc="29AC35BA">
      <w:start w:val="1"/>
      <w:numFmt w:val="decimal"/>
      <w:lvlText w:val="%7."/>
      <w:lvlJc w:val="left"/>
      <w:pPr>
        <w:ind w:left="5040" w:hanging="360"/>
      </w:pPr>
    </w:lvl>
    <w:lvl w:ilvl="7" w:tplc="7F267CA6">
      <w:start w:val="1"/>
      <w:numFmt w:val="lowerLetter"/>
      <w:lvlText w:val="%8."/>
      <w:lvlJc w:val="left"/>
      <w:pPr>
        <w:ind w:left="5760" w:hanging="360"/>
      </w:pPr>
    </w:lvl>
    <w:lvl w:ilvl="8" w:tplc="72C2DBF6">
      <w:start w:val="1"/>
      <w:numFmt w:val="lowerRoman"/>
      <w:lvlText w:val="%9."/>
      <w:lvlJc w:val="left"/>
      <w:pPr>
        <w:ind w:left="6480" w:hanging="360"/>
      </w:pPr>
    </w:lvl>
  </w:abstractNum>
  <w:num w:numId="1">
    <w:abstractNumId w:val="0"/>
  </w:num>
  <w:num w:numId="2">
    <w:abstractNumId w:val="1"/>
    <w:lvlOverride w:ilvl="0">
      <w:startOverride w:val="1"/>
    </w:lvlOverride>
  </w:num>
  <w:num w:numId="3">
    <w:abstractNumId w:val="1"/>
    <w:lvlOverride w:ilvl="0">
      <w:startOverride w:val="1"/>
    </w:lvlOverride>
  </w:num>
  <w:num w:numId="4">
    <w:abstractNumId w:val="1"/>
    <w:lvlOverride w:ilvl="0">
      <w:startOverride w:val="1"/>
    </w:lvlOverride>
  </w:num>
  <w:num w:numId="5">
    <w:abstractNumId w:val="0"/>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287E29"/>
    <w:rsid w:val="00287E29"/>
    <w:rsid w:val="0044534A"/>
    <w:rsid w:val="009B740E"/>
    <w:rsid w:val="00B435A6"/>
    <w:rsid w:val="00CF6981"/>
    <w:rsid w:val="00E26135"/>
  </w:rsids>
  <m:mathPr>
    <m:mathFont m:val="Cambria Math"/>
    <m:brkBin m:val="before"/>
    <m:brkBinSub m:val="--"/>
    <m:smallFrac m:val="0"/>
    <m:dispDef/>
    <m:lMargin m:val="0"/>
    <m:rMargin m:val="0"/>
    <m:defJc m:val="centerGroup"/>
    <m:wrapIndent m:val="1440"/>
    <m:intLim m:val="subSup"/>
    <m:naryLim m:val="undOvr"/>
  </m:mathPr>
  <w:themeFontLang w:val="en-IN"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AC2C0"/>
  <w15:docId w15:val="{CF813A1F-4E6C-423F-BFC2-1450642B3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I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semiHidden/>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421</Words>
  <Characters>2401</Characters>
  <Application>Microsoft Office Word</Application>
  <DocSecurity>0</DocSecurity>
  <Lines>20</Lines>
  <Paragraphs>5</Paragraphs>
  <ScaleCrop>false</ScaleCrop>
  <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Comments on IFRS IC Tentative Agenda Decisions (September 2026)</dc:title>
  <dc:description>Claude Docs node/6e518e1b-8e49@6 docx-w6</dc:description>
  <cp:lastModifiedBy>Admin</cp:lastModifiedBy>
  <cp:revision>10</cp:revision>
  <dcterms:created xsi:type="dcterms:W3CDTF">2026-10-08T12:53:00Z</dcterms:created>
  <dcterms:modified xsi:type="dcterms:W3CDTF">2026-10-09T11:57:00Z</dcterms:modified>
</cp:coreProperties>
</file>